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52" w:rsidRDefault="004C7252" w:rsidP="004C7252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СОВЕТ </w:t>
      </w:r>
      <w:proofErr w:type="gramStart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РУССКО-ПОЛЯНСКОГО</w:t>
      </w:r>
      <w:proofErr w:type="gramEnd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ГОРОДСКОГО ПОСЕЛЕНИЯ РУССКО-ПОЛЯНСКОГО МУНИЦИПАЛЬНОГО РАЙОНА ОМСКОЙ ОБЛАСТИ</w:t>
      </w:r>
    </w:p>
    <w:p w:rsidR="004C7252" w:rsidRDefault="004C7252" w:rsidP="004C72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252" w:rsidRDefault="004C7252" w:rsidP="004C7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РЕШЕНИЕ</w:t>
      </w:r>
    </w:p>
    <w:p w:rsidR="004C7252" w:rsidRDefault="004C7252" w:rsidP="004C7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4C7252" w:rsidRDefault="001E4AF3" w:rsidP="004C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от </w:t>
      </w:r>
      <w:r w:rsidR="009051A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18 июля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2025 год</w:t>
      </w:r>
      <w:r w:rsidR="009051A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="004C725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      № </w:t>
      </w:r>
      <w:r w:rsidR="009051A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23</w:t>
      </w:r>
    </w:p>
    <w:p w:rsidR="004C7252" w:rsidRDefault="004C7252" w:rsidP="004C7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4C7252" w:rsidRDefault="004C7252" w:rsidP="004C7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 внесении изменений в Положение о порядке управления и распоряжения муниципальным имуществом Русско-Полянского городского поселения Русско-Полянского муниципального района Омской области утвержденное решением Совета Русско-Полянского городского поселения Русско-Полянского муниципального района Омской области от 05.10.2020 № 7</w:t>
      </w:r>
    </w:p>
    <w:p w:rsidR="004C7252" w:rsidRDefault="004C7252" w:rsidP="004C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52" w:rsidRDefault="004C7252" w:rsidP="004C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 от 21.12.2001 № 178-ФЗ "О приватизации государственного и муниципального имущества", руководствуясь Федеральным законом от 06.10.2003 № 131-ФЗ «Об общих принципах организации местного самоуправления в Российской Федерации», статьями 41,42 Устава Русско-Полянского городского поселения Русско-Полянского муниципального района Омской области, Совет Русско-Полянского городского поселения Русско-Полянского муниципального района Омской области, РЕШИЛ:</w:t>
      </w:r>
    </w:p>
    <w:p w:rsidR="004C7252" w:rsidRDefault="004C7252" w:rsidP="004C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52" w:rsidRDefault="004C7252" w:rsidP="004C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Раздел </w:t>
      </w:r>
      <w:r w:rsidR="001E4A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B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</w:t>
      </w:r>
      <w:r>
        <w:rPr>
          <w:rFonts w:ascii="Times New Roman" w:eastAsia="Calibri" w:hAnsi="Times New Roman" w:cs="Times New Roman"/>
          <w:sz w:val="28"/>
          <w:szCs w:val="28"/>
        </w:rPr>
        <w:t>порядке управления и распоряжения муниципальным имуществом Русско-Полянского городского поселения Русско-Полянского муниципального района Омской области</w:t>
      </w:r>
      <w:r w:rsidR="00220B0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утвержденного решением Совета Русско-Полянского городского поселения Русско-Полянского муниципального района Омской области от 05.10.2020 № 7</w:t>
      </w:r>
      <w:r w:rsidR="00220B0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(далее – Положение)</w:t>
      </w:r>
      <w:r w:rsidR="001E4AF3">
        <w:rPr>
          <w:rFonts w:ascii="Times New Roman" w:eastAsia="Calibri" w:hAnsi="Times New Roman" w:cs="Times New Roman"/>
          <w:sz w:val="28"/>
          <w:szCs w:val="28"/>
        </w:rPr>
        <w:t xml:space="preserve"> дополнить главой 2.1 следующего содержания:</w:t>
      </w:r>
    </w:p>
    <w:p w:rsidR="001E4AF3" w:rsidRDefault="001E4AF3" w:rsidP="004C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AF3" w:rsidRDefault="001E4AF3" w:rsidP="001E4A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«ГЛАВА 2.1 УСТАВНОЙ ФОНД МУНИЦИПАЛЬНОГО УНИТАРНОГО ПРЕДПРИЯТИЯ</w:t>
      </w:r>
    </w:p>
    <w:p w:rsidR="001E4AF3" w:rsidRDefault="001E4AF3" w:rsidP="001E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AF3" w:rsidRDefault="001E4AF3" w:rsidP="00DF4A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Уставный фонд муниципального унитарного предприятия может формироваться за счет денежных средств, а также ценных бумаг, других вещей, имущественных прав и иных прав, имеющих денежную оценку.</w:t>
      </w:r>
    </w:p>
    <w:p w:rsidR="001E4AF3" w:rsidRDefault="001E4AF3" w:rsidP="00DF4A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уставного фонда муниципального унитарного предприятия определяется в соответствии с федеральным законодательством.</w:t>
      </w:r>
    </w:p>
    <w:p w:rsidR="001E4AF3" w:rsidRDefault="001E4AF3" w:rsidP="00DF4A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об увеличении уставного фонда муниципального предприятия принимается в форме постановления Администрации городского поселения, на основании данных утвержденной годовой бухгалтерской отчетности муниципального предприятия за истекший финансовый год.</w:t>
      </w:r>
    </w:p>
    <w:p w:rsidR="001E4AF3" w:rsidRDefault="001E4AF3" w:rsidP="00DF4A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согласия Администрации директор муниципального унитарного предприятия обеспечивает внесение соответствующих изменений в устав муниципального унитарного предприятия.</w:t>
      </w:r>
    </w:p>
    <w:p w:rsidR="001E4AF3" w:rsidRDefault="001E4AF3" w:rsidP="00DF4A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Решение об уменьшении уставного фонда муниципального предприятия принимается в форме постановления Администрации городского поселения. В случае если по окончании финансового года стоимость чистых активов муниципального предприятия окажется меньше размера его уставного фонда, Администрация обязана принять решение об уменьшении уставного фонда данного муниципального унитарного предприятия.</w:t>
      </w:r>
    </w:p>
    <w:p w:rsidR="001E4AF3" w:rsidRDefault="001E4AF3" w:rsidP="00DF4A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обеспечивает внесение соответствующих изменений в устав муниципального пред</w:t>
      </w:r>
      <w:r w:rsidR="00DF4A5B">
        <w:rPr>
          <w:rFonts w:ascii="Times New Roman" w:hAnsi="Times New Roman" w:cs="Times New Roman"/>
          <w:sz w:val="28"/>
          <w:szCs w:val="28"/>
        </w:rPr>
        <w:t>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AF3" w:rsidRDefault="001E4AF3" w:rsidP="00DF4A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если по окончании финансового года стоимость чистых активов муниципального предприятия окажется меньше минимального размера его уставного фонда, установленного федеральным законом на дату государственной регистрации такого муниципального предприятия, и в течение трех месяцев стоимость чистых активов не будет восстановлена до минимального размера его уст</w:t>
      </w:r>
      <w:r w:rsidR="00DF4A5B">
        <w:rPr>
          <w:rFonts w:ascii="Times New Roman" w:hAnsi="Times New Roman" w:cs="Times New Roman"/>
          <w:sz w:val="28"/>
          <w:szCs w:val="28"/>
        </w:rPr>
        <w:t>авного фонда, Глава городского поселения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органа Администрации, осуществляющего функции учредителя данн</w:t>
      </w:r>
      <w:r w:rsidR="00DF4A5B">
        <w:rPr>
          <w:rFonts w:ascii="Times New Roman" w:hAnsi="Times New Roman" w:cs="Times New Roman"/>
          <w:sz w:val="28"/>
          <w:szCs w:val="28"/>
        </w:rPr>
        <w:t xml:space="preserve">ого муниципального предприятия </w:t>
      </w:r>
      <w:r>
        <w:rPr>
          <w:rFonts w:ascii="Times New Roman" w:hAnsi="Times New Roman" w:cs="Times New Roman"/>
          <w:sz w:val="28"/>
          <w:szCs w:val="28"/>
        </w:rPr>
        <w:t>принимает решение о ликвидации или реорганизации такого муниципального предприятия.</w:t>
      </w:r>
    </w:p>
    <w:p w:rsidR="001E4AF3" w:rsidRDefault="001E4AF3" w:rsidP="00DF4A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муниципальном казенном предприятии уставный фонд не формируется.</w:t>
      </w:r>
      <w:r w:rsidR="00DF4A5B">
        <w:rPr>
          <w:rFonts w:ascii="Times New Roman" w:hAnsi="Times New Roman" w:cs="Times New Roman"/>
          <w:sz w:val="28"/>
          <w:szCs w:val="28"/>
        </w:rPr>
        <w:t>».</w:t>
      </w:r>
    </w:p>
    <w:p w:rsidR="001E4AF3" w:rsidRDefault="00473760" w:rsidP="004C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2. Раздел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главы 3 </w:t>
      </w:r>
      <w:r w:rsidR="00220B0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Положения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дополнить пунктом 23.1 следующего содержания:</w:t>
      </w:r>
    </w:p>
    <w:p w:rsidR="00473760" w:rsidRPr="00473760" w:rsidRDefault="00473760" w:rsidP="00473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«23.1</w:t>
      </w:r>
      <w:r w:rsidRPr="00473760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Pr="00473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об условиях приватизации сетей газораспределения, сетей </w:t>
      </w:r>
      <w:proofErr w:type="spellStart"/>
      <w:r w:rsidRPr="00473760">
        <w:rPr>
          <w:rFonts w:ascii="Times New Roman" w:eastAsia="Calibri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473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объектов таких сетей на конкурсе принимается только при выполнении участниками конкурса следующих условий:</w:t>
      </w:r>
      <w:r w:rsidR="00220B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3760">
        <w:rPr>
          <w:rFonts w:ascii="Times New Roman" w:hAnsi="Times New Roman" w:cs="Times New Roman"/>
          <w:sz w:val="28"/>
          <w:szCs w:val="28"/>
        </w:rPr>
        <w:t xml:space="preserve">сохранение определенного числа рабочих мест, переподготовку и (или) повышение квалификации работников, 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 указанных объектов, проведение ремонтных и иных работ в отношении сетей газораспределения, сетей </w:t>
      </w:r>
      <w:proofErr w:type="spellStart"/>
      <w:r w:rsidRPr="00473760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473760">
        <w:rPr>
          <w:rFonts w:ascii="Times New Roman" w:hAnsi="Times New Roman" w:cs="Times New Roman"/>
          <w:sz w:val="28"/>
          <w:szCs w:val="28"/>
        </w:rPr>
        <w:t xml:space="preserve"> и объектов таких сетей, находящихся в неудовлетворительном состоянии.</w:t>
      </w:r>
    </w:p>
    <w:p w:rsidR="00473760" w:rsidRPr="00473760" w:rsidRDefault="00473760" w:rsidP="00473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473760" w:rsidRPr="00473760" w:rsidRDefault="00473760" w:rsidP="00473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Указанный перечень условий конкурса является исчерпывающим.</w:t>
      </w:r>
    </w:p>
    <w:p w:rsidR="00473760" w:rsidRPr="00473760" w:rsidRDefault="00473760" w:rsidP="00473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Особенности приватизации </w:t>
      </w:r>
      <w:r w:rsidRPr="00473760">
        <w:rPr>
          <w:rFonts w:ascii="Times New Roman" w:hAnsi="Times New Roman" w:cs="Times New Roman"/>
          <w:sz w:val="28"/>
          <w:szCs w:val="28"/>
        </w:rPr>
        <w:t xml:space="preserve">сети газораспределения, сети </w:t>
      </w:r>
      <w:proofErr w:type="spellStart"/>
      <w:r w:rsidRPr="00473760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473760">
        <w:rPr>
          <w:rFonts w:ascii="Times New Roman" w:hAnsi="Times New Roman" w:cs="Times New Roman"/>
          <w:sz w:val="28"/>
          <w:szCs w:val="28"/>
        </w:rPr>
        <w:t xml:space="preserve"> и объектов таких сетей определяются в соответствии со  статьей 30.5 Федерального закона 178-ФЗ.».</w:t>
      </w:r>
    </w:p>
    <w:p w:rsidR="004C7252" w:rsidRDefault="00473760" w:rsidP="004C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3760">
        <w:rPr>
          <w:rFonts w:ascii="Times New Roman" w:eastAsia="Calibri" w:hAnsi="Times New Roman" w:cs="Times New Roman"/>
          <w:kern w:val="2"/>
          <w:sz w:val="28"/>
          <w:szCs w:val="28"/>
        </w:rPr>
        <w:t>3</w:t>
      </w:r>
      <w:r w:rsidR="004C7252" w:rsidRPr="00473760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</w:t>
      </w:r>
      <w:r w:rsidR="004C7252" w:rsidRPr="00473760">
        <w:rPr>
          <w:rFonts w:ascii="Times New Roman" w:hAnsi="Times New Roman"/>
          <w:sz w:val="28"/>
          <w:szCs w:val="28"/>
        </w:rPr>
        <w:t>Настоящее решение подлежит официальному обнародованию</w:t>
      </w:r>
      <w:r w:rsidR="004C7252">
        <w:rPr>
          <w:rFonts w:ascii="Times New Roman" w:hAnsi="Times New Roman"/>
          <w:color w:val="000000"/>
          <w:sz w:val="28"/>
          <w:szCs w:val="28"/>
        </w:rPr>
        <w:t xml:space="preserve">, в порядке определенном статьей 36 Устава </w:t>
      </w:r>
      <w:proofErr w:type="gramStart"/>
      <w:r w:rsidR="004C7252">
        <w:rPr>
          <w:rFonts w:ascii="Times New Roman" w:hAnsi="Times New Roman"/>
          <w:color w:val="000000"/>
          <w:sz w:val="28"/>
          <w:szCs w:val="28"/>
        </w:rPr>
        <w:t>Русско-Полянского</w:t>
      </w:r>
      <w:proofErr w:type="gramEnd"/>
      <w:r w:rsidR="004C725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Русско-Полянского муниципального района Омской области.</w:t>
      </w:r>
    </w:p>
    <w:p w:rsidR="004C7252" w:rsidRDefault="00473760" w:rsidP="004C7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C7252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544"/>
        <w:gridCol w:w="1241"/>
        <w:gridCol w:w="4679"/>
        <w:gridCol w:w="34"/>
        <w:gridCol w:w="73"/>
      </w:tblGrid>
      <w:tr w:rsidR="004C7252" w:rsidTr="00167A6C">
        <w:trPr>
          <w:gridAfter w:val="1"/>
          <w:wAfter w:w="73" w:type="dxa"/>
        </w:trPr>
        <w:tc>
          <w:tcPr>
            <w:tcW w:w="3544" w:type="dxa"/>
            <w:hideMark/>
          </w:tcPr>
          <w:p w:rsidR="004C7252" w:rsidRDefault="004C7252" w:rsidP="00167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gridSpan w:val="3"/>
          </w:tcPr>
          <w:p w:rsidR="004C7252" w:rsidRDefault="004C7252" w:rsidP="00167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4C7252" w:rsidTr="00167A6C">
        <w:tc>
          <w:tcPr>
            <w:tcW w:w="4785" w:type="dxa"/>
            <w:gridSpan w:val="2"/>
            <w:hideMark/>
          </w:tcPr>
          <w:p w:rsidR="004C7252" w:rsidRDefault="009051A9" w:rsidP="00167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 о </w:t>
            </w:r>
            <w:r w:rsidR="004C725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C7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252" w:rsidRDefault="004C7252" w:rsidP="00167A6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Русско-Полянского городского поселения                                                            </w:t>
            </w:r>
          </w:p>
          <w:p w:rsidR="004C7252" w:rsidRDefault="004C7252" w:rsidP="009051A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</w:t>
            </w:r>
            <w:r w:rsidR="009051A9">
              <w:rPr>
                <w:rFonts w:ascii="Times New Roman" w:hAnsi="Times New Roman" w:cs="Times New Roman"/>
                <w:sz w:val="28"/>
                <w:szCs w:val="28"/>
              </w:rPr>
              <w:t xml:space="preserve">Л.Б. </w:t>
            </w:r>
            <w:bookmarkStart w:id="0" w:name="_GoBack"/>
            <w:bookmarkEnd w:id="0"/>
            <w:r w:rsidR="009051A9">
              <w:rPr>
                <w:rFonts w:ascii="Times New Roman" w:hAnsi="Times New Roman" w:cs="Times New Roman"/>
                <w:sz w:val="28"/>
                <w:szCs w:val="28"/>
              </w:rPr>
              <w:t>Полякова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gridSpan w:val="3"/>
            <w:hideMark/>
          </w:tcPr>
          <w:p w:rsidR="004C7252" w:rsidRDefault="004C7252" w:rsidP="00167A6C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Русско-Полянского городского </w:t>
            </w:r>
          </w:p>
          <w:p w:rsidR="004C7252" w:rsidRDefault="004C7252" w:rsidP="00167A6C">
            <w:pPr>
              <w:spacing w:after="0" w:line="240" w:lineRule="auto"/>
              <w:ind w:left="3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4C7252" w:rsidRDefault="004C7252" w:rsidP="00167A6C">
            <w:pPr>
              <w:spacing w:after="0" w:line="240" w:lineRule="auto"/>
              <w:ind w:firstLine="3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М.С. Ткач     </w:t>
            </w:r>
          </w:p>
        </w:tc>
      </w:tr>
      <w:tr w:rsidR="004C7252" w:rsidTr="00167A6C">
        <w:trPr>
          <w:gridAfter w:val="2"/>
          <w:wAfter w:w="107" w:type="dxa"/>
        </w:trPr>
        <w:tc>
          <w:tcPr>
            <w:tcW w:w="9464" w:type="dxa"/>
            <w:gridSpan w:val="3"/>
          </w:tcPr>
          <w:p w:rsidR="004C7252" w:rsidRDefault="004C7252" w:rsidP="00167A6C">
            <w:pPr>
              <w:spacing w:after="0" w:line="240" w:lineRule="exact"/>
              <w:ind w:left="5670" w:firstLine="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7252" w:rsidRDefault="004C7252" w:rsidP="004C7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026463" w:rsidRDefault="00026463"/>
    <w:sectPr w:rsidR="00026463" w:rsidSect="00220B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55"/>
    <w:rsid w:val="00026463"/>
    <w:rsid w:val="001E4AF3"/>
    <w:rsid w:val="00220B03"/>
    <w:rsid w:val="003C67CC"/>
    <w:rsid w:val="00473760"/>
    <w:rsid w:val="004C7252"/>
    <w:rsid w:val="009051A9"/>
    <w:rsid w:val="00BE1355"/>
    <w:rsid w:val="00D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Ткач</cp:lastModifiedBy>
  <cp:revision>6</cp:revision>
  <cp:lastPrinted>2025-07-18T04:29:00Z</cp:lastPrinted>
  <dcterms:created xsi:type="dcterms:W3CDTF">2025-07-10T06:27:00Z</dcterms:created>
  <dcterms:modified xsi:type="dcterms:W3CDTF">2025-07-18T04:30:00Z</dcterms:modified>
</cp:coreProperties>
</file>